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5B" w:rsidRDefault="00FA395B">
      <w:pPr>
        <w:pStyle w:val="ConsPlusTitlePage"/>
      </w:pPr>
      <w:bookmarkStart w:id="0" w:name="_GoBack"/>
      <w:bookmarkEnd w:id="0"/>
    </w:p>
    <w:p w:rsidR="00FA395B" w:rsidRDefault="00FA395B">
      <w:pPr>
        <w:pStyle w:val="ConsPlusNormal"/>
        <w:jc w:val="both"/>
        <w:outlineLvl w:val="0"/>
      </w:pPr>
    </w:p>
    <w:p w:rsidR="00FA395B" w:rsidRDefault="00FA395B">
      <w:pPr>
        <w:pStyle w:val="ConsPlusNormal"/>
        <w:outlineLvl w:val="0"/>
      </w:pPr>
      <w:r>
        <w:t>Зарегистрировано в Минюсте России 20 августа 2013 г. N 29444</w:t>
      </w:r>
    </w:p>
    <w:p w:rsidR="00FA395B" w:rsidRDefault="00FA39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395B" w:rsidRDefault="00FA395B">
      <w:pPr>
        <w:pStyle w:val="ConsPlusNormal"/>
      </w:pPr>
    </w:p>
    <w:p w:rsidR="00FA395B" w:rsidRDefault="00FA395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FA395B" w:rsidRDefault="00FA395B">
      <w:pPr>
        <w:pStyle w:val="ConsPlusTitle"/>
        <w:jc w:val="center"/>
      </w:pPr>
    </w:p>
    <w:p w:rsidR="00FA395B" w:rsidRDefault="00FA395B">
      <w:pPr>
        <w:pStyle w:val="ConsPlusTitle"/>
        <w:jc w:val="center"/>
      </w:pPr>
      <w:r>
        <w:t>ПРИКАЗ</w:t>
      </w:r>
    </w:p>
    <w:p w:rsidR="00FA395B" w:rsidRDefault="00FA395B">
      <w:pPr>
        <w:pStyle w:val="ConsPlusTitle"/>
        <w:jc w:val="center"/>
      </w:pPr>
      <w:r>
        <w:t>от 1 июля 2013 г. N 499</w:t>
      </w:r>
    </w:p>
    <w:p w:rsidR="00FA395B" w:rsidRDefault="00FA395B">
      <w:pPr>
        <w:pStyle w:val="ConsPlusTitle"/>
        <w:jc w:val="center"/>
      </w:pPr>
    </w:p>
    <w:p w:rsidR="00FA395B" w:rsidRDefault="00FA395B">
      <w:pPr>
        <w:pStyle w:val="ConsPlusTitle"/>
        <w:jc w:val="center"/>
      </w:pPr>
      <w:r>
        <w:t>ОБ УТВЕРЖДЕНИИ ПОРЯДКА</w:t>
      </w:r>
    </w:p>
    <w:p w:rsidR="00FA395B" w:rsidRDefault="00FA395B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FA395B" w:rsidRDefault="00FA395B">
      <w:pPr>
        <w:pStyle w:val="ConsPlusTitle"/>
        <w:jc w:val="center"/>
      </w:pPr>
      <w:r>
        <w:t>ПО ДОПОЛНИТЕЛЬНЫМ ПРОФЕССИОНАЛЬНЫМ ПРОГРАММАМ</w:t>
      </w:r>
    </w:p>
    <w:p w:rsidR="00FA395B" w:rsidRDefault="00FA39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A39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95B" w:rsidRDefault="00FA39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95B" w:rsidRDefault="00FA39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395B" w:rsidRDefault="00FA39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395B" w:rsidRDefault="00FA39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15.11.2013 N 1244)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95B" w:rsidRDefault="00FA395B">
            <w:pPr>
              <w:pStyle w:val="ConsPlusNormal"/>
            </w:pPr>
          </w:p>
        </w:tc>
      </w:tr>
    </w:tbl>
    <w:p w:rsidR="00FA395B" w:rsidRDefault="00FA395B">
      <w:pPr>
        <w:pStyle w:val="ConsPlusNormal"/>
        <w:jc w:val="center"/>
      </w:pPr>
    </w:p>
    <w:p w:rsidR="00FA395B" w:rsidRDefault="00FA395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профессиональным программам.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2013 года.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jc w:val="right"/>
      </w:pPr>
      <w:r>
        <w:t>Министр</w:t>
      </w:r>
    </w:p>
    <w:p w:rsidR="00FA395B" w:rsidRDefault="00FA395B">
      <w:pPr>
        <w:pStyle w:val="ConsPlusNormal"/>
        <w:jc w:val="right"/>
      </w:pPr>
      <w:r>
        <w:t>Д.В.ЛИВАНОВ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jc w:val="right"/>
        <w:outlineLvl w:val="0"/>
      </w:pPr>
      <w:r>
        <w:t>Утвержден</w:t>
      </w:r>
    </w:p>
    <w:p w:rsidR="00FA395B" w:rsidRDefault="00FA395B">
      <w:pPr>
        <w:pStyle w:val="ConsPlusNormal"/>
        <w:jc w:val="right"/>
      </w:pPr>
      <w:r>
        <w:t>приказом Министерства</w:t>
      </w:r>
    </w:p>
    <w:p w:rsidR="00FA395B" w:rsidRDefault="00FA395B">
      <w:pPr>
        <w:pStyle w:val="ConsPlusNormal"/>
        <w:jc w:val="right"/>
      </w:pPr>
      <w:r>
        <w:t>образования и науки</w:t>
      </w:r>
    </w:p>
    <w:p w:rsidR="00FA395B" w:rsidRDefault="00FA395B">
      <w:pPr>
        <w:pStyle w:val="ConsPlusNormal"/>
        <w:jc w:val="right"/>
      </w:pPr>
      <w:r>
        <w:t>Российской Федерации</w:t>
      </w:r>
    </w:p>
    <w:p w:rsidR="00FA395B" w:rsidRDefault="00FA395B">
      <w:pPr>
        <w:pStyle w:val="ConsPlusNormal"/>
        <w:jc w:val="right"/>
      </w:pPr>
      <w:r>
        <w:t>от 1 июля 2013 г. N 499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Title"/>
        <w:jc w:val="center"/>
      </w:pPr>
      <w:bookmarkStart w:id="1" w:name="P32"/>
      <w:bookmarkEnd w:id="1"/>
      <w:r>
        <w:t>ПОРЯДОК</w:t>
      </w:r>
    </w:p>
    <w:p w:rsidR="00FA395B" w:rsidRDefault="00FA395B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FA395B" w:rsidRDefault="00FA395B">
      <w:pPr>
        <w:pStyle w:val="ConsPlusTitle"/>
        <w:jc w:val="center"/>
      </w:pPr>
      <w:r>
        <w:t>ПО ДОПОЛНИТЕЛЬНЫМ ПРОФЕССИОНАЛЬНЫМ ПРОГРАММАМ</w:t>
      </w:r>
    </w:p>
    <w:p w:rsidR="00FA395B" w:rsidRDefault="00FA39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A39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95B" w:rsidRDefault="00FA39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95B" w:rsidRDefault="00FA39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395B" w:rsidRDefault="00FA39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395B" w:rsidRDefault="00FA39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15.11.2013 N 1244)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95B" w:rsidRDefault="00FA395B">
            <w:pPr>
              <w:pStyle w:val="ConsPlusNormal"/>
            </w:pPr>
          </w:p>
        </w:tc>
      </w:tr>
    </w:tbl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дополнительным профессиональным программам (далее - Порядок) устанавливает правила организации и осуществления образовательной деятельности по дополнительным профессиональным программам организациями, осуществляющими образовательную деятельность.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2. Настоящий порядок является обязательным для организаций дополнительного </w:t>
      </w:r>
      <w:r>
        <w:lastRenderedPageBreak/>
        <w:t>профессионального образования; образовательных организаций высшего образования, профессиональных образовательных организаций, организаций, осуществляющих обучение (научные организации или иные юридические лица) (далее совместно - организация).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3. К освоению дополнительных профессиональных программ допускаются: лица, имеющие среднее профессиональное и (или) высшее образование; лица, получающие среднее профессиональное и (или) высшее образование &lt;1&gt;.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Часть 3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r>
        <w:t xml:space="preserve">4. Организация осуществляет </w:t>
      </w:r>
      <w:proofErr w:type="gramStart"/>
      <w:r>
        <w:t>обучение</w:t>
      </w:r>
      <w:proofErr w:type="gramEnd"/>
      <w:r>
        <w:t xml:space="preserve"> по дополнительной профессиональной программе на основе договора об образовании, заключаемого со слушателем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:rsidR="00FA395B" w:rsidRDefault="00FA395B">
      <w:pPr>
        <w:pStyle w:val="ConsPlusNormal"/>
        <w:jc w:val="both"/>
      </w:pPr>
      <w:r>
        <w:t xml:space="preserve">(п. 4 в ред. </w:t>
      </w:r>
      <w:hyperlink r:id="rId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15.11.2013 N 1244)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5. Содержание дополнительного профессионального образования определяется образовательной программой, разработанной и утвержденной организацией, если иное не установлено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 &lt;2&gt;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Часть 6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r>
        <w:t>6.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 &lt;1&gt;.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Часть 2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r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 &lt;1&gt;.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Часть 4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r>
        <w:lastRenderedPageBreak/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Реализация программы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 &lt;1&gt;.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Часть 5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r>
        <w:t>В структуре программы профессиональной переподготовки должны быть представлены: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7. 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Содержание реализуемой дополнительной профессиональной программы должно учитывать профессиональные </w:t>
      </w:r>
      <w:hyperlink r:id="rId15">
        <w:r>
          <w:rPr>
            <w:color w:val="0000FF"/>
          </w:rPr>
          <w:t>стандарты</w:t>
        </w:r>
      </w:hyperlink>
      <w: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 &lt;1&gt;.</w:t>
      </w:r>
      <w:proofErr w:type="gramEnd"/>
    </w:p>
    <w:p w:rsidR="00FA395B" w:rsidRDefault="00FA39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Часть 9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r>
        <w:t>9. Для определения структуры дополнительной профессиональной программы и трудоемкости ее освоения может применяться система зачетных единиц. Количество зачетных единиц по дополнительной профессиональной программе устанавливается организацией &lt;1&gt;.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>
        <w:r>
          <w:rPr>
            <w:color w:val="0000FF"/>
          </w:rPr>
          <w:t>Части 4</w:t>
        </w:r>
      </w:hyperlink>
      <w:r>
        <w:t xml:space="preserve">, </w:t>
      </w:r>
      <w:hyperlink r:id="rId18">
        <w:r>
          <w:rPr>
            <w:color w:val="0000FF"/>
          </w:rPr>
          <w:t>5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proofErr w:type="gramStart"/>
      <w:r>
        <w:t xml:space="preserve">Структура дополнительной профессиональной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 и иные компоненты &lt;1&gt;. Учебный план дополнительной профессиональной программы определяет перечень, трудоемкость, последовательность и распределение учебных предметов, курсов, дисциплин (модулей), иных видов учебной </w:t>
      </w:r>
      <w:r>
        <w:lastRenderedPageBreak/>
        <w:t>деятельности обучающихся и формы аттестации.</w:t>
      </w:r>
      <w:proofErr w:type="gramEnd"/>
    </w:p>
    <w:p w:rsidR="00FA395B" w:rsidRDefault="00FA39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">
        <w:r>
          <w:rPr>
            <w:color w:val="0000FF"/>
          </w:rPr>
          <w:t>Пункт 9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r>
        <w:t xml:space="preserve">10. Программа профессиональной переподготовки разрабатывается организацией на основании установленных квалификационных требований, профессиональных </w:t>
      </w:r>
      <w:hyperlink r:id="rId20">
        <w:r>
          <w:rPr>
            <w:color w:val="0000FF"/>
          </w:rPr>
          <w:t>стандартов</w:t>
        </w:r>
      </w:hyperlink>
      <w:r>
        <w:t xml:space="preserve"> и требований соответствующих федеральных государственных образовательных </w:t>
      </w:r>
      <w:hyperlink r:id="rId21">
        <w:r>
          <w:rPr>
            <w:color w:val="0000FF"/>
          </w:rPr>
          <w:t>стандартов</w:t>
        </w:r>
      </w:hyperlink>
      <w:r>
        <w:t xml:space="preserve"> среднего профессионального и (или) высшего образования к результатам освоения образовательных программ. &lt;1&gt;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">
        <w:r>
          <w:rPr>
            <w:color w:val="0000FF"/>
          </w:rPr>
          <w:t>Часть 10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r>
        <w:t xml:space="preserve">11. Исключен. - </w:t>
      </w:r>
      <w:hyperlink r:id="rId23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15.11.2013 N 1244.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12. Формы обучения и сроки освоения дополнительной профессиональной программы определяются образовательной программой и (или) договором об образовании &lt;1&gt;.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 - менее 250 часов.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4">
        <w:r>
          <w:rPr>
            <w:color w:val="0000FF"/>
          </w:rPr>
          <w:t>Часть 13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r>
        <w:t>13. Дополнительная профессиональная программа может реализовываться полностью или частично в форме стажировки.</w:t>
      </w:r>
    </w:p>
    <w:p w:rsidR="00FA395B" w:rsidRDefault="00FA395B">
      <w:pPr>
        <w:pStyle w:val="ConsPlusNormal"/>
        <w:spacing w:before="220"/>
        <w:ind w:firstLine="540"/>
        <w:jc w:val="both"/>
      </w:pPr>
      <w:proofErr w:type="gramStart"/>
      <w:r>
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для их эффективного использовании при исполнении своих должностных обязанностей.</w:t>
      </w:r>
      <w:proofErr w:type="gramEnd"/>
    </w:p>
    <w:p w:rsidR="00FA395B" w:rsidRDefault="00FA395B">
      <w:pPr>
        <w:pStyle w:val="ConsPlusNormal"/>
        <w:spacing w:before="220"/>
        <w:ind w:firstLine="540"/>
        <w:jc w:val="both"/>
      </w:pPr>
      <w:r>
        <w:t>Содержание стажировки определяется организацией с учетом предложений организаций, направляющих специалистов на стажировку, содержание дополнительных профессиональных программ.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Сроки стажировки определяются организацией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Стажировка носит индивидуальный или групповой характер и может предусматривать такие виды деятельности, как: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lastRenderedPageBreak/>
        <w:t>самостоятельную работу с учебными изданиями;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приобретение профессиональных и организаторских навыков;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изучение организации и технологии производства, работ;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непосредственное участие в планировании работы организации;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работу с технической, нормативной и другой документацией;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выполнение функциональных обязанностей должностных лиц (в качестве временно исполняющего обязанности или дублера);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участие в совещаниях, деловых встречах.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14. При реализации дополнительных профессиональных программ организацией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электронного обучения. &lt;1&gt;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5">
        <w:r>
          <w:rPr>
            <w:color w:val="0000FF"/>
          </w:rPr>
          <w:t>Часть 3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proofErr w:type="gramStart"/>
      <w:r>
        <w:t>Обучение</w:t>
      </w:r>
      <w:proofErr w:type="gramEnd"/>
      <w:r>
        <w:t xml:space="preserve"> по индивидуальному учебному плану в пределах осваиваемой дополнительной профессиональной программы осуществляется в порядке, установленном локальными нормативными актами организации &lt;1&gt;.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6">
        <w:r>
          <w:rPr>
            <w:color w:val="0000FF"/>
          </w:rPr>
          <w:t>Пункт 3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r>
        <w:t>15. Дополнительные профессиональные программы реализуются образовательной организацией как самостоятельно, так и посредством сетевых форм их реализации &lt;1&gt;.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7">
        <w:r>
          <w:rPr>
            <w:color w:val="0000FF"/>
          </w:rPr>
          <w:t>Часть 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r>
        <w:t>16. Образовательный процесс в организации может осуществляться в течение всего календарного года. Продолжительность учебного года определяется организацией.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</w:t>
      </w:r>
      <w:r>
        <w:lastRenderedPageBreak/>
        <w:t>проектной работы и другие виды учебных занятий и учебных работ, определенные учебным планом.</w:t>
      </w:r>
      <w:proofErr w:type="gramEnd"/>
    </w:p>
    <w:p w:rsidR="00FA395B" w:rsidRDefault="00FA395B">
      <w:pPr>
        <w:pStyle w:val="ConsPlusNormal"/>
        <w:spacing w:before="220"/>
        <w:ind w:firstLine="540"/>
        <w:jc w:val="both"/>
      </w:pPr>
      <w:r>
        <w:t>Для всех видов аудиторных занятий академический час устанавливается продолжительностью 45 минут.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18. При освоении дополнительных профессиональных программ профессиональной переподготовки возможен зачет учебных предметов, курсов, дисциплин (модулей), освоенных в процессе предшествующего </w:t>
      </w:r>
      <w:proofErr w:type="gramStart"/>
      <w:r>
        <w:t>обучения</w:t>
      </w:r>
      <w:proofErr w:type="gramEnd"/>
      <w:r>
        <w:t xml:space="preserve"> по основным профессиональным образовательным программам и (или) дополнительным профессиональным программам, порядок которого определяется организацией самостоятельно.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19. Освоение дополнительных профессиональных образовательных программ завершается итоговой аттестацией обучающихся в форме, определяемой организацией самостоятельно.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 (или) диплом о профессиональной переподготовке. &lt;1&gt;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8">
        <w:r>
          <w:rPr>
            <w:color w:val="0000FF"/>
          </w:rPr>
          <w:t>Часть 15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proofErr w:type="gramStart"/>
      <w:r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</w:t>
      </w:r>
      <w:proofErr w:type="gramEnd"/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организации, выдается справка об обучении или о периоде </w:t>
      </w:r>
      <w:proofErr w:type="gramStart"/>
      <w:r>
        <w:t>обучения по образцу</w:t>
      </w:r>
      <w:proofErr w:type="gramEnd"/>
      <w:r>
        <w:t>, самостоятельно устанавливаемому организацией.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Документ о квалификации выдается на бланке, образец которого самостоятельно устанавливается организацией.</w:t>
      </w:r>
    </w:p>
    <w:p w:rsidR="00FA395B" w:rsidRDefault="00FA395B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15.11.2013 N 1244)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20.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 &lt;1&gt;.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0">
        <w:r>
          <w:rPr>
            <w:color w:val="0000FF"/>
          </w:rPr>
          <w:t>Часть 16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  <w:r>
        <w:t>21. Оценка качества освоения дополнительных профессиональных программ проводится в отношении: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lastRenderedPageBreak/>
        <w:t>соответствия результатов освоения дополнительной профессиональной программы заявленным целям и планируемым результатам обучения;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соответствия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способности организации результативно и эффективно выполнять деятельность по предоставлению образовательных услуг.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22. Оценка качества освоения дополнительных профессиональных программ проводится в следующих формах: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внутренний мониторинг качества образования;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внешняя независимая оценка качества образования.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Требования к внутренней оценке качества дополнительных профессиональных программ и результатов их реализации утверждается в порядке, предусмотренном образовательной организацией.</w:t>
      </w:r>
    </w:p>
    <w:p w:rsidR="00FA395B" w:rsidRDefault="00FA395B">
      <w:pPr>
        <w:pStyle w:val="ConsPlusNormal"/>
        <w:spacing w:before="220"/>
        <w:ind w:firstLine="540"/>
        <w:jc w:val="both"/>
      </w:pPr>
      <w:r>
        <w:t>Организации на добровольной основе могут применять процедуры независимой оценки качества образования, профессионально-общественной аккредитации дополнительных профессиональных программ и общественной аккредитации организаций.</w:t>
      </w: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ind w:firstLine="540"/>
        <w:jc w:val="both"/>
      </w:pPr>
    </w:p>
    <w:p w:rsidR="00FA395B" w:rsidRDefault="00FA39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3995" w:rsidRDefault="00EB3995"/>
    <w:sectPr w:rsidR="00EB3995" w:rsidSect="004E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5B"/>
    <w:rsid w:val="00EB3995"/>
    <w:rsid w:val="00FA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9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39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39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9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39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39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871&amp;dst=101005" TargetMode="External"/><Relationship Id="rId13" Type="http://schemas.openxmlformats.org/officeDocument/2006/relationships/hyperlink" Target="https://login.consultant.ru/link/?req=doc&amp;base=LAW&amp;n=451871&amp;dst=101008" TargetMode="External"/><Relationship Id="rId18" Type="http://schemas.openxmlformats.org/officeDocument/2006/relationships/hyperlink" Target="https://login.consultant.ru/link/?req=doc&amp;base=LAW&amp;n=451871&amp;dst=100242" TargetMode="External"/><Relationship Id="rId26" Type="http://schemas.openxmlformats.org/officeDocument/2006/relationships/hyperlink" Target="https://login.consultant.ru/link/?req=doc&amp;base=LAW&amp;n=451871&amp;dst=1004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42304" TargetMode="External"/><Relationship Id="rId7" Type="http://schemas.openxmlformats.org/officeDocument/2006/relationships/hyperlink" Target="https://login.consultant.ru/link/?req=doc&amp;base=LAW&amp;n=157651&amp;dst=100006" TargetMode="External"/><Relationship Id="rId12" Type="http://schemas.openxmlformats.org/officeDocument/2006/relationships/hyperlink" Target="https://login.consultant.ru/link/?req=doc&amp;base=LAW&amp;n=451871&amp;dst=101004" TargetMode="External"/><Relationship Id="rId17" Type="http://schemas.openxmlformats.org/officeDocument/2006/relationships/hyperlink" Target="https://login.consultant.ru/link/?req=doc&amp;base=LAW&amp;n=451871&amp;dst=100241" TargetMode="External"/><Relationship Id="rId25" Type="http://schemas.openxmlformats.org/officeDocument/2006/relationships/hyperlink" Target="https://login.consultant.ru/link/?req=doc&amp;base=LAW&amp;n=451871&amp;dst=1002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1871&amp;dst=101013" TargetMode="External"/><Relationship Id="rId20" Type="http://schemas.openxmlformats.org/officeDocument/2006/relationships/hyperlink" Target="https://login.consultant.ru/link/?req=doc&amp;base=LAW&amp;n=157436" TargetMode="External"/><Relationship Id="rId29" Type="http://schemas.openxmlformats.org/officeDocument/2006/relationships/hyperlink" Target="https://login.consultant.ru/link/?req=doc&amp;base=LAW&amp;n=157651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71&amp;dst=100248" TargetMode="External"/><Relationship Id="rId11" Type="http://schemas.openxmlformats.org/officeDocument/2006/relationships/hyperlink" Target="https://login.consultant.ru/link/?req=doc&amp;base=LAW&amp;n=451871&amp;dst=101010" TargetMode="External"/><Relationship Id="rId24" Type="http://schemas.openxmlformats.org/officeDocument/2006/relationships/hyperlink" Target="https://login.consultant.ru/link/?req=doc&amp;base=LAW&amp;n=451871&amp;dst=10101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57651&amp;dst=100006" TargetMode="External"/><Relationship Id="rId15" Type="http://schemas.openxmlformats.org/officeDocument/2006/relationships/hyperlink" Target="https://login.consultant.ru/link/?req=doc&amp;base=LAW&amp;n=157436" TargetMode="External"/><Relationship Id="rId23" Type="http://schemas.openxmlformats.org/officeDocument/2006/relationships/hyperlink" Target="https://login.consultant.ru/link/?req=doc&amp;base=LAW&amp;n=157651&amp;dst=100009" TargetMode="External"/><Relationship Id="rId28" Type="http://schemas.openxmlformats.org/officeDocument/2006/relationships/hyperlink" Target="https://login.consultant.ru/link/?req=doc&amp;base=LAW&amp;n=451871&amp;dst=101019" TargetMode="External"/><Relationship Id="rId10" Type="http://schemas.openxmlformats.org/officeDocument/2006/relationships/hyperlink" Target="https://login.consultant.ru/link/?req=doc&amp;base=LAW&amp;n=451871" TargetMode="External"/><Relationship Id="rId19" Type="http://schemas.openxmlformats.org/officeDocument/2006/relationships/hyperlink" Target="https://login.consultant.ru/link/?req=doc&amp;base=LAW&amp;n=451871&amp;dst=10002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57651&amp;dst=100007" TargetMode="External"/><Relationship Id="rId14" Type="http://schemas.openxmlformats.org/officeDocument/2006/relationships/hyperlink" Target="https://login.consultant.ru/link/?req=doc&amp;base=LAW&amp;n=451871&amp;dst=101009" TargetMode="External"/><Relationship Id="rId22" Type="http://schemas.openxmlformats.org/officeDocument/2006/relationships/hyperlink" Target="https://login.consultant.ru/link/?req=doc&amp;base=LAW&amp;n=451871&amp;dst=101014" TargetMode="External"/><Relationship Id="rId27" Type="http://schemas.openxmlformats.org/officeDocument/2006/relationships/hyperlink" Target="https://login.consultant.ru/link/?req=doc&amp;base=LAW&amp;n=451871&amp;dst=100238" TargetMode="External"/><Relationship Id="rId30" Type="http://schemas.openxmlformats.org/officeDocument/2006/relationships/hyperlink" Target="https://login.consultant.ru/link/?req=doc&amp;base=LAW&amp;n=451871&amp;dst=101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 А.В.</dc:creator>
  <cp:lastModifiedBy>Котельников А.В.</cp:lastModifiedBy>
  <cp:revision>1</cp:revision>
  <dcterms:created xsi:type="dcterms:W3CDTF">2024-03-04T09:01:00Z</dcterms:created>
  <dcterms:modified xsi:type="dcterms:W3CDTF">2024-03-04T09:01:00Z</dcterms:modified>
</cp:coreProperties>
</file>